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Pr>
                <w:rFonts w:asciiTheme="majorHAnsi" w:hAnsiTheme="majorHAnsi" w:cs="Arial"/>
                <w:b/>
                <w:sz w:val="18"/>
                <w:szCs w:val="18"/>
              </w:rPr>
              <w:t>Slobodni radikali u hemiji</w:t>
            </w:r>
            <w:r w:rsidR="00A70315">
              <w:rPr>
                <w:rFonts w:asciiTheme="majorHAnsi" w:hAnsiTheme="majorHAnsi" w:cs="Arial"/>
                <w:b/>
                <w:sz w:val="18"/>
                <w:szCs w:val="18"/>
              </w:rPr>
              <w:t xml:space="preserve"> </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Pr>
                <w:rFonts w:asciiTheme="majorHAnsi" w:hAnsiTheme="majorHAnsi" w:cs="Arial"/>
                <w:b/>
                <w:sz w:val="18"/>
                <w:szCs w:val="18"/>
              </w:rPr>
              <w:t>SR</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4F3094">
                    <w:rPr>
                      <w:rFonts w:asciiTheme="majorHAnsi" w:hAnsiTheme="majorHAnsi" w:cs="Arial"/>
                      <w:b/>
                      <w:sz w:val="18"/>
                      <w:szCs w:val="18"/>
                    </w:rPr>
                    <w:instrText xml:space="preserve"> FORMDROPDOWN </w:instrText>
                  </w:r>
                  <w:r w:rsidR="00B83F9C">
                    <w:rPr>
                      <w:rFonts w:asciiTheme="majorHAnsi" w:hAnsiTheme="majorHAnsi" w:cs="Arial"/>
                      <w:b/>
                      <w:sz w:val="18"/>
                      <w:szCs w:val="18"/>
                    </w:rPr>
                  </w:r>
                  <w:r w:rsidR="00B83F9C">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42466C">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Pr>
                <w:rFonts w:asciiTheme="majorHAnsi" w:hAnsiTheme="majorHAnsi" w:cs="Arial"/>
                <w:b/>
                <w:sz w:val="18"/>
                <w:szCs w:val="18"/>
              </w:rPr>
              <w:t>6</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7B021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7B0219">
              <w:rPr>
                <w:rFonts w:asciiTheme="majorHAnsi" w:hAnsiTheme="majorHAnsi" w:cs="Arial"/>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33,7</w:t>
            </w:r>
            <w:r w:rsidR="00DD7C9E">
              <w:rPr>
                <w:rFonts w:asciiTheme="majorHAnsi" w:hAnsiTheme="majorHAnsi" w:cs="Arial"/>
                <w:b/>
                <w:sz w:val="18"/>
                <w:szCs w:val="18"/>
              </w:rPr>
              <w:t>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7B021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7B0219">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45,93</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7</w:t>
            </w:r>
            <w:r w:rsidR="00A70315">
              <w:rPr>
                <w:rFonts w:asciiTheme="majorHAnsi" w:hAnsiTheme="majorHAnsi" w:cs="Arial"/>
                <w:b/>
                <w:sz w:val="18"/>
                <w:szCs w:val="18"/>
              </w:rPr>
              <w:t>9,68</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sidR="00A70315">
              <w:rPr>
                <w:rFonts w:asciiTheme="majorHAnsi" w:hAnsiTheme="majorHAnsi" w:cs="Arial"/>
                <w:b/>
                <w:sz w:val="18"/>
                <w:szCs w:val="18"/>
              </w:rPr>
              <w:t xml:space="preserve">/ </w:t>
            </w:r>
            <w:r w:rsidR="0042466C">
              <w:rPr>
                <w:rFonts w:asciiTheme="majorHAnsi" w:hAnsiTheme="majorHAnsi" w:cs="Arial"/>
                <w:b/>
                <w:sz w:val="18"/>
                <w:szCs w:val="18"/>
              </w:rPr>
              <w:t>Primijenjena hemija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sidRPr="00A70315">
              <w:rPr>
                <w:rFonts w:asciiTheme="majorHAnsi" w:hAnsiTheme="majorHAnsi" w:cs="Arial"/>
                <w:b/>
                <w:sz w:val="18"/>
                <w:szCs w:val="18"/>
              </w:rPr>
              <w:t xml:space="preserve">Dr.sci. </w:t>
            </w:r>
            <w:r w:rsidR="0042466C">
              <w:rPr>
                <w:rFonts w:asciiTheme="majorHAnsi" w:hAnsiTheme="majorHAnsi" w:cs="Arial"/>
                <w:b/>
                <w:sz w:val="18"/>
                <w:szCs w:val="18"/>
              </w:rPr>
              <w:t>Nadira Ibrišimović Mehmedinović</w:t>
            </w:r>
            <w:r w:rsidR="00A70315" w:rsidRPr="00A70315">
              <w:rPr>
                <w:rFonts w:asciiTheme="majorHAnsi" w:hAnsiTheme="majorHAnsi" w:cs="Arial"/>
                <w:b/>
                <w:sz w:val="18"/>
                <w:szCs w:val="18"/>
              </w:rPr>
              <w:t>, redovni profesor</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sidRPr="0042466C">
              <w:rPr>
                <w:rFonts w:asciiTheme="majorHAnsi" w:hAnsiTheme="majorHAnsi" w:cs="Arial"/>
                <w:b/>
                <w:sz w:val="18"/>
                <w:szCs w:val="18"/>
              </w:rPr>
              <w:t xml:space="preserve">Osnovni cilj ovog modula je da studenti steknu nova znanja i nadogradnju u odnosu na bazu iz oblasti hemije te da se upoznaju sa  hemijskim procesima formiranja niza intermedijernih spojeva koji su organizmu nepotrebni ili čak štetni. </w:t>
            </w:r>
            <w:r w:rsidR="0042466C" w:rsidRPr="0042466C">
              <w:rPr>
                <w:rFonts w:asciiTheme="majorHAnsi" w:hAnsiTheme="majorHAnsi" w:cs="Arial"/>
                <w:b/>
                <w:sz w:val="18"/>
                <w:szCs w:val="18"/>
              </w:rPr>
              <w:lastRenderedPageBreak/>
              <w:t xml:space="preserve">Među najznačajnije štetne intermedijere spadaju takozvani slobodni radikali. Najznačajniji slobodni radikali u organizmu su radikali - derivati oksigena, poznati kao reaktivne oksigenske vrste, ROS.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sidRPr="0042466C">
              <w:rPr>
                <w:rFonts w:asciiTheme="majorHAnsi" w:hAnsiTheme="majorHAnsi" w:cs="Arial"/>
                <w:b/>
                <w:sz w:val="18"/>
                <w:szCs w:val="18"/>
              </w:rPr>
              <w:t>Nakon odslušanog i uspješno položenog kursa studenti bi trebali da usvoje znanja o hemijskim procesima nastanka reaktivnih molekulskih vrsta-slobodnih radikala kao i hemijskih reakcija i procesa u kojima učestvuju i koje iniciraju.</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sidRPr="0042466C">
              <w:rPr>
                <w:rFonts w:asciiTheme="majorHAnsi" w:hAnsiTheme="majorHAnsi" w:cs="Arial"/>
                <w:b/>
                <w:sz w:val="18"/>
                <w:szCs w:val="18"/>
              </w:rPr>
              <w:t>Uvod. Teorija slobodnih radikala-definicija, podjela i reaktivnost. Enzimski antioksidansi i metaloproteini. Polifenolna jedinjenja. Antioksidansi u hrani. Nitrogen radikali-podjela, elektronska struktura i reaktivnost. Oksigen radikali –kisik, ozon, superoksid, hidrogen peroksid, hidroksil radikali-elektronska struktura, osobine i dobijanje. Ugljikovi radikali- karakteristike, reakcije i detekcija slobodnih radikala. Halogenirana reaktivna jedinjenja- HOCl, nitrozil hlorid, nitril hlorid, .... Uticaj slobodnih radikala na razvoj malignih oboljenja. Slobodni radikali i oksidativni stres.</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sidRPr="0042466C">
              <w:rPr>
                <w:rFonts w:asciiTheme="majorHAnsi" w:hAnsiTheme="majorHAnsi" w:cs="Arial"/>
                <w:b/>
                <w:sz w:val="18"/>
                <w:szCs w:val="18"/>
              </w:rPr>
              <w:t>U cilju efikasnog izvođenja nastave i postizanja očekivanih ciljeva kursa i kompetencija studenata na kraju semestra na kursu se koriste različite nastavne metode: - predavanja (P) uz upotrebu multimedijalnih sredstava, tehnika aktivnog učenja i uz aktivno učešće i diskusije studenata; - teoretske (auditorne) vježbe (AV) - konsultacije</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42466C">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2466C" w:rsidRPr="0042466C">
              <w:rPr>
                <w:rFonts w:asciiTheme="majorHAnsi" w:hAnsiTheme="majorHAnsi" w:cs="Arial"/>
                <w:b/>
                <w:sz w:val="18"/>
                <w:szCs w:val="18"/>
              </w:rPr>
              <w:t xml:space="preserve">Aktivnost studenta se određuje angažmanom u nastavnom procesu, praćenjem i aktivnim učešćem u nastavi na predavanju i vježbama. Za prisustvo na predavanjima i vježbama u toku semestra student može ostvariti od 0 do 4 bodova. Studenti koji su više od tri puta izostali, nemaju pravo na ovjeru predmeta od strane predmetnog nastavnika. Nakon polovine semestra studenti pismeno polažu test (prvi parcijalni) koji obuhvata do tada obrađenu tematiku sa predavanja i vježbi. Test se sastoji od zadataka izračunavanja, definisanja pojmova, višestrukog izbora, dopunjavanja, povezivanja, grafičkog prikazivanja. Svaki tačan odgovor boduje se sa onoliko bodova koji isključivo zavisi od težine pitanja . Dobiveni bodovi na testu se nakon sumiranja konvertuju u broj bodova predviđen syllabusom, tačnije, student na prvom parcijalnom ispitu može ostvariti maksimalno 20 bodova. Na kraju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onoliko bodova koji isključivo zavisi od težine pitanja. Dobiveni bodovi na testu se nakon sumiranja konvertuju u broj bodova predviđen syllabusom, tačnije, student na drugom parcijalnom ispitu može ostvariti maksimalno 20 bodova. Oba testa polažu svi studenti na predmetu istovremeno čime se postiže ujednačenost nivoa znanja koje se testira, kao i uslovi pod kojima student polaže ispit.   Seminarski rad će obuhvatati tematiku iz oblasti </w:t>
            </w:r>
            <w:r w:rsidR="0042466C">
              <w:rPr>
                <w:rFonts w:asciiTheme="majorHAnsi" w:hAnsiTheme="majorHAnsi" w:cs="Arial"/>
                <w:b/>
                <w:sz w:val="18"/>
                <w:szCs w:val="18"/>
              </w:rPr>
              <w:t>Slobodnih radikala</w:t>
            </w:r>
            <w:r w:rsidR="0042466C" w:rsidRPr="0042466C">
              <w:rPr>
                <w:rFonts w:asciiTheme="majorHAnsi" w:hAnsiTheme="majorHAnsi" w:cs="Arial"/>
                <w:b/>
                <w:sz w:val="18"/>
                <w:szCs w:val="18"/>
              </w:rPr>
              <w:t xml:space="preserve"> i treba biti obrađen uz konsultovanje raspoložive dostupne udžbeničke literature, literature dostupne na Internetu, i sl. Studenti su obavezani da u određenom vremenu, najkasnije mjesec dana do kraja semestra, u skladu sa uputsvima, seminarski rad i isti dostave nastavniku na pregled. Završni ispit je pismeni i/ili usmeni. Na završnom ispitu,  student može maksimalno ostvariti 50 bodova s tim da je za polaganje potrebno osvojiti nadpolovični broj bodova - 27. Format pitanja u testu je identičan pitanjima na parcijalnim ispitima. Da bi student položio predmet mora ostvariti minimalno 55 kumulativnih bodova od čega minimalno 27 bodova na završnom ispitu. Identičan navedenom je način polaganja popravnog i dodatnog popravnog ispita.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C57FB">
              <w:rPr>
                <w:rFonts w:asciiTheme="majorHAnsi" w:hAnsiTheme="majorHAnsi"/>
                <w:b/>
                <w:sz w:val="18"/>
                <w:szCs w:val="18"/>
              </w:rPr>
              <w:t>40</w:t>
            </w:r>
            <w:r w:rsidR="004F3094">
              <w:rPr>
                <w:rFonts w:asciiTheme="majorHAnsi" w:hAnsiTheme="majorHAnsi"/>
                <w:b/>
                <w:sz w:val="18"/>
                <w:szCs w:val="18"/>
              </w:rPr>
              <w:t xml:space="preserve">%, </w:t>
            </w:r>
            <w:r w:rsidR="00A70315">
              <w:rPr>
                <w:rFonts w:asciiTheme="majorHAnsi" w:hAnsiTheme="majorHAnsi"/>
                <w:b/>
                <w:sz w:val="18"/>
                <w:szCs w:val="18"/>
              </w:rPr>
              <w:t>Seminarski rad</w:t>
            </w:r>
            <w:r w:rsidR="004F3094">
              <w:rPr>
                <w:rFonts w:asciiTheme="majorHAnsi" w:hAnsiTheme="majorHAnsi"/>
                <w:b/>
                <w:sz w:val="18"/>
                <w:szCs w:val="18"/>
              </w:rPr>
              <w:t xml:space="preserve">: </w:t>
            </w:r>
            <w:r w:rsidR="001C57FB">
              <w:rPr>
                <w:rFonts w:asciiTheme="majorHAnsi" w:hAnsiTheme="majorHAnsi"/>
                <w:b/>
                <w:sz w:val="18"/>
                <w:szCs w:val="18"/>
              </w:rPr>
              <w:t>1</w:t>
            </w:r>
            <w:r w:rsidR="00C04213">
              <w:rPr>
                <w:rFonts w:asciiTheme="majorHAnsi" w:hAnsiTheme="majorHAnsi"/>
                <w:b/>
                <w:sz w:val="18"/>
                <w:szCs w:val="18"/>
              </w:rPr>
              <w:t>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1C57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C57FB" w:rsidRPr="001C57FB">
              <w:rPr>
                <w:rFonts w:asciiTheme="majorHAnsi" w:hAnsiTheme="majorHAnsi" w:cs="Arial"/>
                <w:b/>
                <w:sz w:val="18"/>
                <w:szCs w:val="18"/>
              </w:rPr>
              <w:t xml:space="preserve">1. Aldina Kesić, Nadira Ibrišimović Mehmedinović, Almir Šestan. Antioksidansi-oksidacijski stres i antioksidacijska zaštita, Univerzitet u Tuzli, Off-Set Tuzla 2022.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C57FB" w:rsidRDefault="00AA0249" w:rsidP="001C57F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C57FB" w:rsidRPr="001C57FB">
              <w:rPr>
                <w:rFonts w:asciiTheme="majorHAnsi" w:hAnsiTheme="majorHAnsi" w:cs="Arial"/>
                <w:b/>
                <w:sz w:val="18"/>
                <w:szCs w:val="18"/>
              </w:rPr>
              <w:t xml:space="preserve"> 1.</w:t>
            </w:r>
            <w:r w:rsidR="001C57FB">
              <w:rPr>
                <w:rFonts w:asciiTheme="majorHAnsi" w:hAnsiTheme="majorHAnsi" w:cs="Arial"/>
                <w:b/>
                <w:sz w:val="18"/>
                <w:szCs w:val="18"/>
              </w:rPr>
              <w:t xml:space="preserve"> </w:t>
            </w:r>
            <w:r w:rsidR="001C57FB" w:rsidRPr="001C57FB">
              <w:rPr>
                <w:rFonts w:asciiTheme="majorHAnsi" w:hAnsiTheme="majorHAnsi" w:cs="Arial"/>
                <w:b/>
                <w:sz w:val="18"/>
                <w:szCs w:val="18"/>
              </w:rPr>
              <w:t xml:space="preserve">Afanasev, I.,Signaling mechanism of oxigen and nitrogen free radicals, CRC Pres, Taylor and Francis group,2009. </w:t>
            </w:r>
          </w:p>
          <w:p w:rsidR="006D272C" w:rsidRDefault="001C57FB" w:rsidP="001C57FB">
            <w:pPr>
              <w:pStyle w:val="NoSpacing"/>
              <w:rPr>
                <w:rFonts w:asciiTheme="majorHAnsi" w:hAnsiTheme="majorHAnsi" w:cs="Arial"/>
                <w:b/>
                <w:sz w:val="18"/>
                <w:szCs w:val="18"/>
              </w:rPr>
            </w:pPr>
            <w:r w:rsidRPr="001C57FB">
              <w:rPr>
                <w:rFonts w:asciiTheme="majorHAnsi" w:hAnsiTheme="majorHAnsi" w:cs="Arial"/>
                <w:b/>
                <w:sz w:val="18"/>
                <w:szCs w:val="18"/>
              </w:rPr>
              <w:t>2. Lazar, M., Klimo, V., Valko, L.,Free radicals in Chemistry and Biology, CRC Pres Inc, Boca Raton, Florida, 2000.</w:t>
            </w:r>
            <w:r w:rsidR="00AA0249">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C05C2C">
            <w:pPr>
              <w:pStyle w:val="NoSpacing"/>
              <w:jc w:val="center"/>
              <w:rPr>
                <w:rFonts w:asciiTheme="majorHAnsi" w:hAnsiTheme="majorHAnsi" w:cs="Arial"/>
                <w:b/>
                <w:sz w:val="18"/>
                <w:szCs w:val="18"/>
              </w:rPr>
            </w:pPr>
            <w:r>
              <w:rPr>
                <w:rFonts w:asciiTheme="majorHAnsi" w:hAnsiTheme="majorHAnsi" w:cs="Arial"/>
                <w:b/>
                <w:sz w:val="18"/>
                <w:szCs w:val="18"/>
              </w:rPr>
              <w:lastRenderedPageBreak/>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C05C2C">
              <w:rPr>
                <w:rFonts w:asciiTheme="majorHAnsi" w:hAnsiTheme="majorHAnsi" w:cs="Arial"/>
                <w:b/>
                <w:sz w:val="18"/>
                <w:szCs w:val="18"/>
              </w:rPr>
              <w:t>6</w:t>
            </w:r>
            <w:r w:rsidR="004F3094">
              <w:rPr>
                <w:rFonts w:asciiTheme="majorHAnsi" w:hAnsiTheme="majorHAnsi" w:cs="Arial"/>
                <w:b/>
                <w:sz w:val="18"/>
                <w:szCs w:val="18"/>
              </w:rPr>
              <w:t>/2</w:t>
            </w:r>
            <w:r w:rsidR="00C05C2C">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8D1D77">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8D1D77">
              <w:rPr>
                <w:rFonts w:asciiTheme="majorHAnsi" w:hAnsiTheme="majorHAnsi" w:cs="Arial"/>
                <w:b/>
                <w:sz w:val="18"/>
                <w:szCs w:val="18"/>
              </w:rPr>
            </w:r>
            <w:r w:rsidRPr="008D1D77">
              <w:rPr>
                <w:rFonts w:asciiTheme="majorHAnsi" w:hAnsiTheme="majorHAnsi" w:cs="Arial"/>
                <w:b/>
                <w:sz w:val="18"/>
                <w:szCs w:val="18"/>
              </w:rPr>
              <w:fldChar w:fldCharType="separate"/>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216"/>
                <w:sz w:val="18"/>
                <w:szCs w:val="18"/>
              </w:rPr>
              <w:t> </w:t>
            </w:r>
            <w:r w:rsidR="005C3BFA" w:rsidRPr="008D1D77">
              <w:rPr>
                <w:rFonts w:asciiTheme="majorHAnsi" w:hAnsiTheme="majorHAnsi" w:cs="Arial"/>
                <w:b/>
                <w:spacing w:val="-1"/>
                <w:sz w:val="18"/>
                <w:szCs w:val="18"/>
              </w:rPr>
              <w:t> </w:t>
            </w:r>
            <w:r w:rsidRPr="008D1D77">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F9C" w:rsidRDefault="00B83F9C">
      <w:pPr>
        <w:spacing w:line="240" w:lineRule="auto"/>
      </w:pPr>
      <w:r>
        <w:separator/>
      </w:r>
    </w:p>
  </w:endnote>
  <w:endnote w:type="continuationSeparator" w:id="0">
    <w:p w:rsidR="00B83F9C" w:rsidRDefault="00B83F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C05C2C">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C05C2C">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C05C2C">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F9C" w:rsidRDefault="00B83F9C">
      <w:pPr>
        <w:spacing w:after="0"/>
      </w:pPr>
      <w:r>
        <w:separator/>
      </w:r>
    </w:p>
  </w:footnote>
  <w:footnote w:type="continuationSeparator" w:id="0">
    <w:p w:rsidR="00B83F9C" w:rsidRDefault="00B83F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7FB"/>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514"/>
    <w:rsid w:val="0029297C"/>
    <w:rsid w:val="00293BC4"/>
    <w:rsid w:val="002A64FB"/>
    <w:rsid w:val="002A7A7D"/>
    <w:rsid w:val="002C1992"/>
    <w:rsid w:val="002C2245"/>
    <w:rsid w:val="002D0413"/>
    <w:rsid w:val="002D12FB"/>
    <w:rsid w:val="002D3FFE"/>
    <w:rsid w:val="002D5887"/>
    <w:rsid w:val="002E384F"/>
    <w:rsid w:val="002E54C9"/>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2466C"/>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510D"/>
    <w:rsid w:val="004F5938"/>
    <w:rsid w:val="004F6E63"/>
    <w:rsid w:val="00513852"/>
    <w:rsid w:val="00513EFB"/>
    <w:rsid w:val="005173B1"/>
    <w:rsid w:val="00522737"/>
    <w:rsid w:val="005276C6"/>
    <w:rsid w:val="00532436"/>
    <w:rsid w:val="005367C4"/>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446F0"/>
    <w:rsid w:val="00750AEB"/>
    <w:rsid w:val="00751605"/>
    <w:rsid w:val="00755879"/>
    <w:rsid w:val="00762431"/>
    <w:rsid w:val="0076665F"/>
    <w:rsid w:val="00770212"/>
    <w:rsid w:val="007774BF"/>
    <w:rsid w:val="00777AA9"/>
    <w:rsid w:val="00782703"/>
    <w:rsid w:val="00787D62"/>
    <w:rsid w:val="007923A6"/>
    <w:rsid w:val="00795A1E"/>
    <w:rsid w:val="00796127"/>
    <w:rsid w:val="007A10B1"/>
    <w:rsid w:val="007A3D42"/>
    <w:rsid w:val="007B0219"/>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1D77"/>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2657A"/>
    <w:rsid w:val="00A444A5"/>
    <w:rsid w:val="00A46BCD"/>
    <w:rsid w:val="00A46F79"/>
    <w:rsid w:val="00A470BC"/>
    <w:rsid w:val="00A47B1E"/>
    <w:rsid w:val="00A51A43"/>
    <w:rsid w:val="00A60F63"/>
    <w:rsid w:val="00A70315"/>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7A0"/>
    <w:rsid w:val="00B71A95"/>
    <w:rsid w:val="00B735B8"/>
    <w:rsid w:val="00B7453D"/>
    <w:rsid w:val="00B75FB3"/>
    <w:rsid w:val="00B83F9C"/>
    <w:rsid w:val="00B86E84"/>
    <w:rsid w:val="00B94E4A"/>
    <w:rsid w:val="00B961A7"/>
    <w:rsid w:val="00B96B4F"/>
    <w:rsid w:val="00BA12A5"/>
    <w:rsid w:val="00BA4600"/>
    <w:rsid w:val="00BB0FE3"/>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05C2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759D"/>
    <w:rsid w:val="00D57E3C"/>
    <w:rsid w:val="00D764F7"/>
    <w:rsid w:val="00D91853"/>
    <w:rsid w:val="00DA1C36"/>
    <w:rsid w:val="00DA3DC5"/>
    <w:rsid w:val="00DB0206"/>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F84"/>
    <w:rsid w:val="00F03408"/>
    <w:rsid w:val="00F075A1"/>
    <w:rsid w:val="00F12E3E"/>
    <w:rsid w:val="00F15264"/>
    <w:rsid w:val="00F2055F"/>
    <w:rsid w:val="00F22194"/>
    <w:rsid w:val="00F30C75"/>
    <w:rsid w:val="00F42010"/>
    <w:rsid w:val="00F457A4"/>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3EE25-CAF8-4281-A932-53FC349E1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2024-03-19T08:24:00Z</cp:lastPrinted>
  <dcterms:created xsi:type="dcterms:W3CDTF">2026-03-05T09:38:00Z</dcterms:created>
  <dcterms:modified xsi:type="dcterms:W3CDTF">2026-03-11T11:57:00Z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